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B7692" w14:textId="77777777" w:rsidR="00836F55" w:rsidRPr="00631CE9" w:rsidRDefault="00836F55">
      <w:pPr>
        <w:pStyle w:val="10"/>
        <w:suppressAutoHyphens/>
        <w:jc w:val="center"/>
        <w:rPr>
          <w:rFonts w:ascii="Arial" w:eastAsia="Arial" w:hAnsi="Arial" w:cs="Arial"/>
          <w:b/>
          <w:color w:val="auto"/>
          <w:szCs w:val="24"/>
        </w:rPr>
      </w:pPr>
    </w:p>
    <w:p w14:paraId="6F9088B1" w14:textId="77777777" w:rsidR="00836F55" w:rsidRPr="00631CE9" w:rsidRDefault="00186127">
      <w:pPr>
        <w:pStyle w:val="10"/>
        <w:suppressAutoHyphens/>
        <w:jc w:val="center"/>
        <w:rPr>
          <w:rFonts w:ascii="Arial" w:eastAsia="Arial" w:hAnsi="Arial" w:cs="Arial"/>
          <w:b/>
          <w:color w:val="auto"/>
          <w:szCs w:val="24"/>
        </w:rPr>
      </w:pPr>
      <w:r w:rsidRPr="00631CE9">
        <w:rPr>
          <w:rFonts w:ascii="Arial" w:eastAsia="Arial" w:hAnsi="Arial" w:cs="Arial"/>
          <w:b/>
          <w:color w:val="auto"/>
          <w:szCs w:val="24"/>
        </w:rPr>
        <w:t>Пояснительная записка</w:t>
      </w:r>
    </w:p>
    <w:p w14:paraId="16D8DD59" w14:textId="77777777" w:rsidR="00836F55" w:rsidRPr="00631CE9" w:rsidRDefault="00186127">
      <w:pPr>
        <w:suppressAutoHyphens/>
        <w:jc w:val="center"/>
        <w:rPr>
          <w:rFonts w:ascii="Arial" w:eastAsia="Arial" w:hAnsi="Arial" w:cs="Arial"/>
          <w:b/>
          <w:color w:val="auto"/>
          <w:szCs w:val="24"/>
        </w:rPr>
      </w:pPr>
      <w:r w:rsidRPr="00631CE9">
        <w:rPr>
          <w:rFonts w:ascii="Arial" w:eastAsia="Arial" w:hAnsi="Arial" w:cs="Arial"/>
          <w:b/>
          <w:color w:val="auto"/>
          <w:szCs w:val="24"/>
        </w:rPr>
        <w:t xml:space="preserve">к проекту межгосударственного стандарта </w:t>
      </w:r>
    </w:p>
    <w:p w14:paraId="18B05A4E" w14:textId="1C9AB243" w:rsidR="00836F55" w:rsidRPr="00631CE9" w:rsidRDefault="00186127" w:rsidP="00603ECF">
      <w:pPr>
        <w:ind w:left="567"/>
        <w:jc w:val="center"/>
        <w:rPr>
          <w:rFonts w:ascii="Arial" w:eastAsia="Arial" w:hAnsi="Arial" w:cs="Arial"/>
          <w:b/>
          <w:color w:val="auto"/>
          <w:szCs w:val="24"/>
        </w:rPr>
      </w:pPr>
      <w:r w:rsidRPr="00631CE9">
        <w:rPr>
          <w:rFonts w:ascii="Arial" w:eastAsia="Arial" w:hAnsi="Arial" w:cs="Arial"/>
          <w:b/>
          <w:color w:val="auto"/>
          <w:szCs w:val="24"/>
        </w:rPr>
        <w:t>ГОСТ «</w:t>
      </w:r>
      <w:r w:rsidR="00603ECF" w:rsidRPr="00000F7F">
        <w:rPr>
          <w:rFonts w:ascii="Arial" w:hAnsi="Arial" w:cs="Arial"/>
          <w:b/>
          <w:bCs/>
        </w:rPr>
        <w:t>Воздух рабочей зоны</w:t>
      </w:r>
      <w:r w:rsidR="00603ECF">
        <w:rPr>
          <w:rFonts w:ascii="Arial" w:hAnsi="Arial" w:cs="Arial"/>
          <w:b/>
          <w:bCs/>
        </w:rPr>
        <w:t>.</w:t>
      </w:r>
      <w:r w:rsidR="00603ECF" w:rsidRPr="00000F7F">
        <w:rPr>
          <w:rFonts w:ascii="Arial" w:hAnsi="Arial" w:cs="Arial"/>
          <w:b/>
          <w:bCs/>
        </w:rPr>
        <w:t xml:space="preserve"> Методические указания на фотометрическое определение содержания паров сероуглерода в воздухе</w:t>
      </w:r>
      <w:bookmarkStart w:id="0" w:name="_GoBack"/>
      <w:bookmarkEnd w:id="0"/>
      <w:r w:rsidRPr="00631CE9">
        <w:rPr>
          <w:rFonts w:ascii="Arial" w:eastAsia="Arial" w:hAnsi="Arial" w:cs="Arial"/>
          <w:b/>
          <w:color w:val="auto"/>
          <w:szCs w:val="24"/>
        </w:rPr>
        <w:t>»</w:t>
      </w:r>
    </w:p>
    <w:p w14:paraId="408513F0" w14:textId="77777777" w:rsidR="00836F55" w:rsidRPr="00631CE9" w:rsidRDefault="00836F55">
      <w:pPr>
        <w:pStyle w:val="10"/>
        <w:suppressAutoHyphens/>
        <w:ind w:firstLine="510"/>
        <w:jc w:val="both"/>
        <w:rPr>
          <w:rFonts w:ascii="Arial" w:eastAsia="Arial" w:hAnsi="Arial" w:cs="Arial"/>
          <w:b/>
          <w:color w:val="auto"/>
          <w:szCs w:val="24"/>
        </w:rPr>
      </w:pPr>
    </w:p>
    <w:p w14:paraId="4C5AC178" w14:textId="77777777" w:rsidR="00836F55" w:rsidRPr="00631CE9" w:rsidRDefault="00186127">
      <w:pPr>
        <w:pStyle w:val="30"/>
        <w:spacing w:after="0"/>
        <w:ind w:firstLine="510"/>
        <w:jc w:val="both"/>
        <w:rPr>
          <w:rFonts w:ascii="Arial" w:eastAsia="Arial" w:hAnsi="Arial" w:cs="Arial"/>
          <w:b/>
          <w:color w:val="auto"/>
          <w:sz w:val="24"/>
          <w:szCs w:val="24"/>
        </w:rPr>
      </w:pPr>
      <w:r w:rsidRPr="00631CE9">
        <w:rPr>
          <w:rFonts w:ascii="Arial" w:eastAsia="Arial" w:hAnsi="Arial" w:cs="Arial"/>
          <w:b/>
          <w:color w:val="auto"/>
          <w:sz w:val="24"/>
          <w:szCs w:val="24"/>
        </w:rPr>
        <w:t>1 Основание для разработки стандарта</w:t>
      </w:r>
    </w:p>
    <w:p w14:paraId="50BCE5EB" w14:textId="77777777" w:rsidR="00836F55" w:rsidRPr="00631CE9" w:rsidRDefault="00186127">
      <w:pPr>
        <w:pStyle w:val="10"/>
        <w:suppressAutoHyphens/>
        <w:ind w:firstLine="510"/>
        <w:jc w:val="both"/>
        <w:rPr>
          <w:rFonts w:ascii="Arial" w:eastAsia="Arial" w:hAnsi="Arial" w:cs="Arial"/>
          <w:color w:val="auto"/>
          <w:kern w:val="1"/>
          <w:szCs w:val="24"/>
        </w:rPr>
      </w:pPr>
      <w:r w:rsidRPr="00631CE9">
        <w:rPr>
          <w:rFonts w:ascii="Arial" w:eastAsia="Arial" w:hAnsi="Arial" w:cs="Arial"/>
          <w:color w:val="auto"/>
          <w:kern w:val="1"/>
          <w:szCs w:val="24"/>
        </w:rPr>
        <w:t>Проект межгосударственного стандарта подготовлен в соответствии с приказом председателя Комитета технического регулирования и метрологии Министерства по инвестициям и развитию РК  от 19.07.2017 года № 166-од «Об утверждении Планов государственной стандартизации на 2018-2020годы (приказ о внесении изменений №39-од от 27.01.2020г., утвержденный председателем Комитета технического регулирования и метрологии Министерства торговли интеграции РК).</w:t>
      </w:r>
    </w:p>
    <w:p w14:paraId="79CD5397" w14:textId="77777777" w:rsidR="00836F55" w:rsidRPr="00631CE9" w:rsidRDefault="00836F55">
      <w:pPr>
        <w:pStyle w:val="10"/>
        <w:suppressAutoHyphens/>
        <w:ind w:firstLine="510"/>
        <w:jc w:val="both"/>
        <w:rPr>
          <w:rFonts w:ascii="Arial" w:eastAsia="Arial" w:hAnsi="Arial" w:cs="Arial"/>
          <w:b/>
          <w:color w:val="auto"/>
          <w:szCs w:val="24"/>
        </w:rPr>
      </w:pPr>
    </w:p>
    <w:p w14:paraId="550CC549" w14:textId="77777777" w:rsidR="00836F55" w:rsidRPr="00631CE9" w:rsidRDefault="00186127">
      <w:pPr>
        <w:pStyle w:val="10"/>
        <w:suppressAutoHyphens/>
        <w:ind w:firstLine="510"/>
        <w:jc w:val="both"/>
        <w:rPr>
          <w:rFonts w:ascii="Arial" w:eastAsia="Arial" w:hAnsi="Arial" w:cs="Arial"/>
          <w:b/>
          <w:color w:val="auto"/>
          <w:szCs w:val="24"/>
        </w:rPr>
      </w:pPr>
      <w:r w:rsidRPr="00631CE9">
        <w:rPr>
          <w:rFonts w:ascii="Arial" w:eastAsia="Arial" w:hAnsi="Arial" w:cs="Arial"/>
          <w:b/>
          <w:color w:val="auto"/>
          <w:szCs w:val="24"/>
        </w:rPr>
        <w:t>2 Характеристика объекта стандартизации:</w:t>
      </w:r>
    </w:p>
    <w:p w14:paraId="65F95E0E" w14:textId="77777777" w:rsidR="00836F55" w:rsidRPr="00631CE9" w:rsidRDefault="00186127">
      <w:pPr>
        <w:pStyle w:val="a6"/>
        <w:tabs>
          <w:tab w:val="left" w:pos="851"/>
        </w:tabs>
        <w:ind w:firstLine="510"/>
        <w:jc w:val="both"/>
        <w:rPr>
          <w:rFonts w:ascii="Arial" w:eastAsia="Arial" w:hAnsi="Arial" w:cs="Arial"/>
          <w:sz w:val="24"/>
        </w:rPr>
      </w:pPr>
      <w:r w:rsidRPr="00631CE9">
        <w:rPr>
          <w:rFonts w:ascii="Arial" w:eastAsia="Arial" w:hAnsi="Arial" w:cs="Arial"/>
          <w:sz w:val="24"/>
        </w:rPr>
        <w:t>Настоящий стандарт устанавливает фотометрический метод определения  содержания паров сероуглерода в воздухе рабочей зоны. Метод основан на образовании окрашенных в желто-бурый цвет растворов дитиокарбамата меди, получаемых при взаимодействии сероуглерода с диэтиламином или пиперидином в присутствии ацетата меди.</w:t>
      </w:r>
    </w:p>
    <w:p w14:paraId="2A9A2571" w14:textId="77777777" w:rsidR="00836F55" w:rsidRPr="00631CE9" w:rsidRDefault="00836F55">
      <w:pPr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color w:val="auto"/>
          <w:kern w:val="1"/>
          <w:szCs w:val="24"/>
        </w:rPr>
      </w:pPr>
    </w:p>
    <w:p w14:paraId="769B182B" w14:textId="77777777" w:rsidR="00836F55" w:rsidRPr="00631CE9" w:rsidRDefault="00186127">
      <w:pPr>
        <w:pStyle w:val="10"/>
        <w:ind w:firstLine="510"/>
        <w:jc w:val="both"/>
        <w:rPr>
          <w:rFonts w:ascii="Arial" w:eastAsia="Arial" w:hAnsi="Arial" w:cs="Arial"/>
          <w:b/>
          <w:bCs/>
          <w:color w:val="auto"/>
          <w:szCs w:val="24"/>
        </w:rPr>
      </w:pPr>
      <w:r w:rsidRPr="00631CE9">
        <w:rPr>
          <w:rFonts w:ascii="Arial" w:eastAsia="Arial" w:hAnsi="Arial" w:cs="Arial"/>
          <w:b/>
          <w:bCs/>
          <w:color w:val="auto"/>
          <w:szCs w:val="24"/>
        </w:rPr>
        <w:t>3 Технико-экономическое обоснование разработки стандарта</w:t>
      </w:r>
    </w:p>
    <w:p w14:paraId="36FB2BB3" w14:textId="3B7E35FF" w:rsidR="00836F55" w:rsidRPr="00631CE9" w:rsidRDefault="00836F55">
      <w:pPr>
        <w:ind w:firstLine="510"/>
        <w:jc w:val="both"/>
        <w:rPr>
          <w:rFonts w:ascii="Arial" w:eastAsia="Arial" w:hAnsi="Arial" w:cs="Arial"/>
          <w:color w:val="auto"/>
          <w:szCs w:val="24"/>
        </w:rPr>
      </w:pPr>
    </w:p>
    <w:p w14:paraId="1A793C58" w14:textId="77777777" w:rsidR="00186127" w:rsidRPr="00631CE9" w:rsidRDefault="00186127" w:rsidP="00186127">
      <w:pPr>
        <w:ind w:firstLine="510"/>
        <w:jc w:val="both"/>
        <w:rPr>
          <w:rFonts w:ascii="Arial" w:hAnsi="Arial" w:cs="Arial"/>
          <w:color w:val="auto"/>
        </w:rPr>
      </w:pPr>
      <w:r w:rsidRPr="00631CE9">
        <w:rPr>
          <w:rFonts w:ascii="Arial" w:hAnsi="Arial" w:cs="Arial"/>
          <w:color w:val="auto"/>
        </w:rPr>
        <w:t>В природе сероуглерод не встречается. Его получают при взаимодействии древесного угля, метана или природного газа в присутствии катализаторов с парами серы. Сероуглерод является одним из важнейших для современной промышленности веществ.</w:t>
      </w:r>
    </w:p>
    <w:p w14:paraId="61644D16" w14:textId="447709AD" w:rsidR="007743EA" w:rsidRPr="00631CE9" w:rsidRDefault="007743EA" w:rsidP="007743E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  <w:szCs w:val="24"/>
        </w:rPr>
      </w:pPr>
      <w:r w:rsidRPr="00631CE9">
        <w:rPr>
          <w:rFonts w:ascii="Arial" w:eastAsia="Arial" w:hAnsi="Arial" w:cs="Arial"/>
          <w:color w:val="auto"/>
          <w:szCs w:val="24"/>
        </w:rPr>
        <w:t xml:space="preserve">Здоровье работников многих отраслей промышленности находится под угрозой в результате подверженности воздействию паров сероуглерода при вдыхании. </w:t>
      </w:r>
    </w:p>
    <w:p w14:paraId="0ED369B5" w14:textId="4A6C8EB9" w:rsidR="003743A2" w:rsidRPr="00631CE9" w:rsidRDefault="003743A2" w:rsidP="003743A2">
      <w:pPr>
        <w:ind w:firstLine="510"/>
        <w:jc w:val="both"/>
        <w:rPr>
          <w:rFonts w:ascii="Arial" w:hAnsi="Arial" w:cs="Arial"/>
          <w:color w:val="auto"/>
        </w:rPr>
      </w:pPr>
      <w:r w:rsidRPr="00631CE9">
        <w:rPr>
          <w:rFonts w:ascii="Arial" w:hAnsi="Arial" w:cs="Arial"/>
          <w:color w:val="auto"/>
        </w:rPr>
        <w:t xml:space="preserve">При 20 °С сероуглерод активно испаряется, и его концентрация в воздухе быстро достигает опасных значений. Пары </w:t>
      </w:r>
      <w:r w:rsidR="00186127" w:rsidRPr="00631CE9">
        <w:rPr>
          <w:rFonts w:ascii="Arial" w:hAnsi="Arial" w:cs="Arial"/>
          <w:color w:val="auto"/>
        </w:rPr>
        <w:t xml:space="preserve">сероуглерода </w:t>
      </w:r>
      <w:r w:rsidRPr="00631CE9">
        <w:rPr>
          <w:rFonts w:ascii="Arial" w:hAnsi="Arial" w:cs="Arial"/>
          <w:color w:val="auto"/>
        </w:rPr>
        <w:t>тяжелее воздуха и могут стелиться по земле. Возможно самовозгорание. В результате вытекания CS2, перемешивания и др. могут образоваться электростатические заряды. При ударе, трении или сотрясении может разлагаться со взрывом, при нагревании взрываться. Сероуглерод бурно реагирует с окислителями, что приводит к опасности пожаров и взрывов. Разрушает некоторые формы пластиков, резины и полимеров.</w:t>
      </w:r>
    </w:p>
    <w:p w14:paraId="659CFC68" w14:textId="77777777" w:rsidR="007743EA" w:rsidRPr="00631CE9" w:rsidRDefault="00186127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  <w:szCs w:val="24"/>
        </w:rPr>
      </w:pPr>
      <w:r w:rsidRPr="00631CE9">
        <w:rPr>
          <w:rFonts w:ascii="Arial" w:eastAsia="Arial" w:hAnsi="Arial" w:cs="Arial"/>
          <w:color w:val="auto"/>
          <w:szCs w:val="24"/>
        </w:rPr>
        <w:t xml:space="preserve">Актуальность разработки данного стандарта обусловлена необходимостью создания взаимосвязанных нормативных документов, обеспечивающих охрану </w:t>
      </w:r>
      <w:r w:rsidR="007743EA" w:rsidRPr="00631CE9">
        <w:rPr>
          <w:rFonts w:ascii="Arial" w:eastAsia="Arial" w:hAnsi="Arial" w:cs="Arial"/>
          <w:color w:val="auto"/>
          <w:szCs w:val="24"/>
        </w:rPr>
        <w:t>здоровья и окружающей среды</w:t>
      </w:r>
      <w:r w:rsidRPr="00631CE9">
        <w:rPr>
          <w:rFonts w:ascii="Arial" w:eastAsia="Arial" w:hAnsi="Arial" w:cs="Arial"/>
          <w:color w:val="auto"/>
          <w:szCs w:val="24"/>
        </w:rPr>
        <w:t xml:space="preserve"> от возможных неблагоприятных воздействий хозяйственной деятельности и связанных с ней социальных последствий</w:t>
      </w:r>
      <w:r w:rsidR="007743EA" w:rsidRPr="00631CE9">
        <w:rPr>
          <w:rFonts w:ascii="Arial" w:eastAsia="Arial" w:hAnsi="Arial" w:cs="Arial"/>
          <w:color w:val="auto"/>
          <w:szCs w:val="24"/>
        </w:rPr>
        <w:t>.</w:t>
      </w:r>
    </w:p>
    <w:p w14:paraId="511EB9CA" w14:textId="72D49BEC" w:rsidR="00836F55" w:rsidRPr="00631CE9" w:rsidRDefault="00186127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  <w:szCs w:val="24"/>
        </w:rPr>
      </w:pPr>
      <w:r w:rsidRPr="00631CE9">
        <w:rPr>
          <w:rFonts w:ascii="Arial" w:eastAsia="Arial" w:hAnsi="Arial" w:cs="Arial"/>
          <w:color w:val="auto"/>
          <w:szCs w:val="24"/>
        </w:rPr>
        <w:t xml:space="preserve">Настоящий стандарт представляет </w:t>
      </w:r>
      <w:r w:rsidR="007743EA" w:rsidRPr="00631CE9">
        <w:rPr>
          <w:rFonts w:ascii="Arial" w:eastAsia="Arial" w:hAnsi="Arial" w:cs="Arial"/>
          <w:color w:val="auto"/>
          <w:szCs w:val="24"/>
        </w:rPr>
        <w:t>простой</w:t>
      </w:r>
      <w:r w:rsidRPr="00631CE9">
        <w:rPr>
          <w:rFonts w:ascii="Arial" w:eastAsia="Arial" w:hAnsi="Arial" w:cs="Arial"/>
          <w:color w:val="auto"/>
          <w:szCs w:val="24"/>
        </w:rPr>
        <w:t xml:space="preserve"> метод эффективн</w:t>
      </w:r>
      <w:r w:rsidR="007743EA" w:rsidRPr="00631CE9">
        <w:rPr>
          <w:rFonts w:ascii="Arial" w:eastAsia="Arial" w:hAnsi="Arial" w:cs="Arial"/>
          <w:color w:val="auto"/>
          <w:szCs w:val="24"/>
        </w:rPr>
        <w:t>ого</w:t>
      </w:r>
      <w:r w:rsidRPr="00631CE9">
        <w:rPr>
          <w:rFonts w:ascii="Arial" w:eastAsia="Arial" w:hAnsi="Arial" w:cs="Arial"/>
          <w:color w:val="auto"/>
          <w:szCs w:val="24"/>
        </w:rPr>
        <w:t xml:space="preserve"> измерени</w:t>
      </w:r>
      <w:r w:rsidR="007743EA" w:rsidRPr="00631CE9">
        <w:rPr>
          <w:rFonts w:ascii="Arial" w:eastAsia="Arial" w:hAnsi="Arial" w:cs="Arial"/>
          <w:color w:val="auto"/>
          <w:szCs w:val="24"/>
        </w:rPr>
        <w:t>я</w:t>
      </w:r>
      <w:r w:rsidRPr="00631CE9">
        <w:rPr>
          <w:rFonts w:ascii="Arial" w:eastAsia="Arial" w:hAnsi="Arial" w:cs="Arial"/>
          <w:color w:val="auto"/>
          <w:szCs w:val="24"/>
        </w:rPr>
        <w:t xml:space="preserve"> паров сероуглерод</w:t>
      </w:r>
      <w:r w:rsidR="003743A2" w:rsidRPr="00631CE9">
        <w:rPr>
          <w:rFonts w:ascii="Arial" w:eastAsia="Arial" w:hAnsi="Arial" w:cs="Arial"/>
          <w:color w:val="auto"/>
          <w:szCs w:val="24"/>
        </w:rPr>
        <w:t>а</w:t>
      </w:r>
      <w:r w:rsidRPr="00631CE9">
        <w:rPr>
          <w:rFonts w:ascii="Arial" w:eastAsia="Arial" w:hAnsi="Arial" w:cs="Arial"/>
          <w:color w:val="auto"/>
          <w:szCs w:val="24"/>
        </w:rPr>
        <w:t>. Данный метод полез</w:t>
      </w:r>
      <w:r w:rsidR="003743A2" w:rsidRPr="00631CE9">
        <w:rPr>
          <w:rFonts w:ascii="Arial" w:eastAsia="Arial" w:hAnsi="Arial" w:cs="Arial"/>
          <w:color w:val="auto"/>
          <w:szCs w:val="24"/>
        </w:rPr>
        <w:t>ен</w:t>
      </w:r>
      <w:r w:rsidRPr="00631CE9">
        <w:rPr>
          <w:rFonts w:ascii="Arial" w:eastAsia="Arial" w:hAnsi="Arial" w:cs="Arial"/>
          <w:color w:val="auto"/>
          <w:szCs w:val="24"/>
        </w:rPr>
        <w:t xml:space="preserve"> для организаций по вопросам безопасности на рабочем месте</w:t>
      </w:r>
      <w:r w:rsidR="003743A2" w:rsidRPr="00631CE9">
        <w:rPr>
          <w:rFonts w:ascii="Arial" w:eastAsia="Arial" w:hAnsi="Arial" w:cs="Arial"/>
          <w:color w:val="auto"/>
          <w:szCs w:val="24"/>
        </w:rPr>
        <w:t xml:space="preserve"> и </w:t>
      </w:r>
      <w:r w:rsidRPr="00631CE9">
        <w:rPr>
          <w:rFonts w:ascii="Arial" w:eastAsia="Arial" w:hAnsi="Arial" w:cs="Arial"/>
          <w:color w:val="auto"/>
          <w:szCs w:val="24"/>
        </w:rPr>
        <w:t>аналитических лабораторий</w:t>
      </w:r>
    </w:p>
    <w:p w14:paraId="48FF2A01" w14:textId="714CABC8" w:rsidR="00836F55" w:rsidRPr="00631CE9" w:rsidRDefault="00186127">
      <w:pPr>
        <w:ind w:firstLine="510"/>
        <w:jc w:val="both"/>
        <w:rPr>
          <w:rFonts w:ascii="Arial" w:eastAsia="Arial" w:hAnsi="Arial" w:cs="Arial"/>
          <w:color w:val="auto"/>
          <w:szCs w:val="24"/>
        </w:rPr>
      </w:pPr>
      <w:r w:rsidRPr="00631CE9">
        <w:rPr>
          <w:rFonts w:ascii="Arial" w:eastAsia="Arial" w:hAnsi="Arial" w:cs="Arial"/>
          <w:color w:val="auto"/>
          <w:szCs w:val="24"/>
        </w:rPr>
        <w:t xml:space="preserve">В настоящее время отсутствуют нормативные документы по стандартизации на </w:t>
      </w:r>
      <w:r w:rsidR="003743A2" w:rsidRPr="00631CE9">
        <w:rPr>
          <w:rFonts w:ascii="Arial" w:eastAsia="Arial" w:hAnsi="Arial" w:cs="Arial"/>
          <w:color w:val="auto"/>
          <w:szCs w:val="24"/>
        </w:rPr>
        <w:t xml:space="preserve">фотометрические </w:t>
      </w:r>
      <w:r w:rsidRPr="00631CE9">
        <w:rPr>
          <w:rFonts w:ascii="Arial" w:eastAsia="Arial" w:hAnsi="Arial" w:cs="Arial"/>
          <w:color w:val="auto"/>
          <w:szCs w:val="24"/>
        </w:rPr>
        <w:t>методы определения содержания паров сероуглерода</w:t>
      </w:r>
    </w:p>
    <w:p w14:paraId="3EECD66D" w14:textId="1B068A93" w:rsidR="00836F55" w:rsidRPr="00631CE9" w:rsidRDefault="003743A2" w:rsidP="003743A2">
      <w:pPr>
        <w:pBdr>
          <w:top w:val="nil"/>
          <w:left w:val="nil"/>
          <w:bottom w:val="nil"/>
          <w:right w:val="nil"/>
          <w:between w:val="nil"/>
        </w:pBdr>
        <w:suppressAutoHyphens/>
        <w:ind w:firstLine="567"/>
        <w:jc w:val="both"/>
        <w:rPr>
          <w:rFonts w:ascii="Arial" w:eastAsia="Arial" w:hAnsi="Arial" w:cs="Arial"/>
          <w:color w:val="auto"/>
          <w:szCs w:val="24"/>
        </w:rPr>
      </w:pPr>
      <w:r w:rsidRPr="00631CE9">
        <w:rPr>
          <w:rFonts w:ascii="Arial" w:eastAsia="Arial" w:hAnsi="Arial" w:cs="Arial"/>
          <w:color w:val="auto"/>
          <w:szCs w:val="24"/>
        </w:rPr>
        <w:t xml:space="preserve">Внедрение </w:t>
      </w:r>
      <w:r w:rsidR="00186127" w:rsidRPr="00631CE9">
        <w:rPr>
          <w:rFonts w:ascii="Arial" w:eastAsia="Arial" w:hAnsi="Arial" w:cs="Arial"/>
          <w:color w:val="auto"/>
          <w:szCs w:val="24"/>
        </w:rPr>
        <w:t>настоящего стандарта будет способствовать</w:t>
      </w:r>
      <w:r w:rsidRPr="00631CE9">
        <w:rPr>
          <w:rFonts w:ascii="Arial" w:eastAsia="Arial" w:hAnsi="Arial" w:cs="Arial"/>
          <w:color w:val="auto"/>
          <w:szCs w:val="24"/>
        </w:rPr>
        <w:t xml:space="preserve"> получению простого метода для оценки вреда наносимого здоровью человека</w:t>
      </w:r>
      <w:r w:rsidR="00186127" w:rsidRPr="00631CE9">
        <w:rPr>
          <w:rFonts w:ascii="Arial" w:eastAsia="Arial" w:hAnsi="Arial" w:cs="Arial"/>
          <w:color w:val="auto"/>
          <w:szCs w:val="24"/>
        </w:rPr>
        <w:t>.</w:t>
      </w:r>
      <w:r w:rsidRPr="00631CE9">
        <w:rPr>
          <w:rFonts w:ascii="Arial" w:eastAsia="Arial" w:hAnsi="Arial" w:cs="Arial"/>
          <w:color w:val="auto"/>
          <w:szCs w:val="24"/>
        </w:rPr>
        <w:t xml:space="preserve"> </w:t>
      </w:r>
    </w:p>
    <w:p w14:paraId="1EEAD8FC" w14:textId="77777777" w:rsidR="00836F55" w:rsidRPr="00631CE9" w:rsidRDefault="00836F55">
      <w:pPr>
        <w:ind w:firstLine="510"/>
        <w:jc w:val="both"/>
        <w:rPr>
          <w:rFonts w:ascii="Arial" w:eastAsia="Arial" w:hAnsi="Arial" w:cs="Arial"/>
          <w:color w:val="auto"/>
          <w:szCs w:val="24"/>
        </w:rPr>
      </w:pPr>
    </w:p>
    <w:p w14:paraId="3292F6AB" w14:textId="77777777" w:rsidR="00836F55" w:rsidRPr="00631CE9" w:rsidRDefault="00186127">
      <w:pPr>
        <w:pStyle w:val="a6"/>
        <w:ind w:firstLine="510"/>
        <w:jc w:val="both"/>
        <w:rPr>
          <w:rFonts w:ascii="Arial" w:eastAsia="Arial" w:hAnsi="Arial" w:cs="Arial"/>
          <w:sz w:val="24"/>
        </w:rPr>
      </w:pPr>
      <w:r w:rsidRPr="00631CE9">
        <w:rPr>
          <w:rFonts w:ascii="Arial" w:eastAsia="Arial" w:hAnsi="Arial" w:cs="Arial"/>
          <w:b/>
          <w:sz w:val="24"/>
        </w:rPr>
        <w:t>4 Обоснование целесообразности разработки стандарта на межгосударственном уровне</w:t>
      </w:r>
    </w:p>
    <w:p w14:paraId="229FDC10" w14:textId="62AF780C" w:rsidR="00186127" w:rsidRPr="00631CE9" w:rsidRDefault="00186127" w:rsidP="00186127">
      <w:pPr>
        <w:pStyle w:val="a6"/>
        <w:ind w:firstLine="510"/>
        <w:jc w:val="both"/>
        <w:rPr>
          <w:rFonts w:ascii="Arial" w:eastAsia="Arial" w:hAnsi="Arial" w:cs="Arial"/>
          <w:sz w:val="24"/>
        </w:rPr>
      </w:pPr>
      <w:r w:rsidRPr="00631CE9">
        <w:rPr>
          <w:rFonts w:ascii="Arial" w:eastAsia="Arial" w:hAnsi="Arial" w:cs="Arial"/>
          <w:sz w:val="24"/>
        </w:rPr>
        <w:lastRenderedPageBreak/>
        <w:t>Создание единой межгосударственной нормативной базы в данной области и установление единого подхода при проведении мониторинга воздуха рабочей зоны и санитарно-защитной зоны.</w:t>
      </w:r>
    </w:p>
    <w:p w14:paraId="0B97BBBE" w14:textId="77777777" w:rsidR="00186127" w:rsidRPr="00631CE9" w:rsidRDefault="00186127">
      <w:pPr>
        <w:tabs>
          <w:tab w:val="left" w:pos="540"/>
        </w:tabs>
        <w:ind w:firstLine="510"/>
        <w:jc w:val="both"/>
        <w:rPr>
          <w:rFonts w:ascii="Arial" w:eastAsia="Arial" w:hAnsi="Arial" w:cs="Arial"/>
          <w:b/>
          <w:color w:val="auto"/>
          <w:szCs w:val="24"/>
        </w:rPr>
      </w:pPr>
    </w:p>
    <w:p w14:paraId="38228B66" w14:textId="69CA291A" w:rsidR="00836F55" w:rsidRPr="00631CE9" w:rsidRDefault="00186127">
      <w:pPr>
        <w:tabs>
          <w:tab w:val="left" w:pos="540"/>
        </w:tabs>
        <w:ind w:firstLine="510"/>
        <w:jc w:val="both"/>
        <w:rPr>
          <w:rFonts w:ascii="Arial" w:eastAsia="Arial" w:hAnsi="Arial" w:cs="Arial"/>
          <w:color w:val="auto"/>
          <w:szCs w:val="24"/>
        </w:rPr>
      </w:pPr>
      <w:r w:rsidRPr="00631CE9">
        <w:rPr>
          <w:rFonts w:ascii="Arial" w:eastAsia="Arial" w:hAnsi="Arial" w:cs="Arial"/>
          <w:b/>
          <w:color w:val="auto"/>
          <w:szCs w:val="24"/>
        </w:rPr>
        <w:t xml:space="preserve">5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международного стандарта </w:t>
      </w:r>
    </w:p>
    <w:p w14:paraId="204AAC3C" w14:textId="77777777" w:rsidR="00836F55" w:rsidRPr="00631CE9" w:rsidRDefault="00186127">
      <w:pPr>
        <w:ind w:firstLine="510"/>
        <w:jc w:val="both"/>
        <w:rPr>
          <w:rFonts w:ascii="Arial" w:eastAsia="Arial" w:hAnsi="Arial" w:cs="Arial"/>
          <w:color w:val="auto"/>
          <w:szCs w:val="24"/>
        </w:rPr>
      </w:pPr>
      <w:r w:rsidRPr="00631CE9">
        <w:rPr>
          <w:rFonts w:ascii="Arial" w:eastAsia="Arial" w:hAnsi="Arial" w:cs="Arial"/>
          <w:color w:val="auto"/>
          <w:szCs w:val="24"/>
        </w:rPr>
        <w:t>Настоящий проект стандарта соответствует ГОСТ 1.0-1992 «Межгосударственная система стандартизации. Основные положения», ГОСТ 1.2-2009 «Межгосударственная система стандартизации. Стандарты межгосударственные, правила и рекомендации по межгосударственной стандартизации. Порядок разработки, принятия, применения, обновления и отмены», ГОСТ 1.3-2008 «Межгосударственная система стандартизации. Правила и методы принятия международных и региональных стандартов в качестве межгосударственных стандартов», ГОСТ 1.5-2001</w:t>
      </w:r>
      <w:r w:rsidRPr="00631CE9">
        <w:rPr>
          <w:rFonts w:ascii="Arial" w:eastAsia="Arial" w:hAnsi="Arial" w:cs="Arial"/>
          <w:b/>
          <w:i/>
          <w:color w:val="auto"/>
          <w:szCs w:val="24"/>
        </w:rPr>
        <w:t xml:space="preserve"> </w:t>
      </w:r>
      <w:r w:rsidRPr="00631CE9">
        <w:rPr>
          <w:rFonts w:ascii="Arial" w:eastAsia="Arial" w:hAnsi="Arial" w:cs="Arial"/>
          <w:color w:val="auto"/>
          <w:szCs w:val="24"/>
        </w:rPr>
        <w:t>«Межгосударственная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обозначению».</w:t>
      </w:r>
    </w:p>
    <w:p w14:paraId="6BBE4E04" w14:textId="77777777" w:rsidR="00836F55" w:rsidRPr="00631CE9" w:rsidRDefault="00836F55">
      <w:pPr>
        <w:ind w:firstLine="510"/>
        <w:jc w:val="both"/>
        <w:rPr>
          <w:rFonts w:ascii="Arial" w:eastAsia="Arial" w:hAnsi="Arial" w:cs="Arial"/>
          <w:b/>
          <w:color w:val="auto"/>
          <w:szCs w:val="24"/>
        </w:rPr>
      </w:pPr>
    </w:p>
    <w:p w14:paraId="7EC3CF95" w14:textId="77777777" w:rsidR="00836F55" w:rsidRPr="00631CE9" w:rsidRDefault="00186127">
      <w:pPr>
        <w:ind w:firstLine="510"/>
        <w:jc w:val="both"/>
        <w:rPr>
          <w:rFonts w:ascii="Arial" w:eastAsia="Arial" w:hAnsi="Arial" w:cs="Arial"/>
          <w:b/>
          <w:color w:val="auto"/>
          <w:szCs w:val="24"/>
        </w:rPr>
      </w:pPr>
      <w:r w:rsidRPr="00631CE9">
        <w:rPr>
          <w:rFonts w:ascii="Arial" w:eastAsia="Arial" w:hAnsi="Arial" w:cs="Arial"/>
          <w:b/>
          <w:color w:val="auto"/>
          <w:szCs w:val="24"/>
        </w:rPr>
        <w:t>6 Предложения по изменению, пересмотру или отмене межгосударственных стандартов, противоречащих предложенному проекту стандарта</w:t>
      </w:r>
    </w:p>
    <w:p w14:paraId="38FF8921" w14:textId="77777777" w:rsidR="00836F55" w:rsidRPr="00631CE9" w:rsidRDefault="00836F55">
      <w:pPr>
        <w:ind w:firstLine="510"/>
        <w:jc w:val="both"/>
        <w:rPr>
          <w:rFonts w:ascii="Arial" w:eastAsia="Arial" w:hAnsi="Arial" w:cs="Arial"/>
          <w:b/>
          <w:color w:val="auto"/>
          <w:szCs w:val="24"/>
        </w:rPr>
      </w:pPr>
    </w:p>
    <w:p w14:paraId="3E3C9686" w14:textId="77777777" w:rsidR="00836F55" w:rsidRPr="00631CE9" w:rsidRDefault="00186127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color w:val="auto"/>
          <w:szCs w:val="24"/>
        </w:rPr>
      </w:pPr>
      <w:r w:rsidRPr="00631CE9">
        <w:rPr>
          <w:rFonts w:ascii="Arial" w:eastAsia="Arial" w:hAnsi="Arial" w:cs="Arial"/>
          <w:color w:val="auto"/>
          <w:szCs w:val="24"/>
        </w:rPr>
        <w:t>Разрабатываемый стандарт не влечет за собой внесения изменений или отмены других нормативных документов.</w:t>
      </w:r>
    </w:p>
    <w:p w14:paraId="35675CDC" w14:textId="77777777" w:rsidR="00836F55" w:rsidRPr="00631CE9" w:rsidRDefault="00836F55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b/>
          <w:bCs/>
          <w:color w:val="auto"/>
          <w:szCs w:val="24"/>
        </w:rPr>
      </w:pPr>
    </w:p>
    <w:p w14:paraId="59623704" w14:textId="77777777" w:rsidR="00836F55" w:rsidRPr="00631CE9" w:rsidRDefault="00186127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b/>
          <w:bCs/>
          <w:color w:val="auto"/>
          <w:szCs w:val="24"/>
        </w:rPr>
      </w:pPr>
      <w:r w:rsidRPr="00631CE9">
        <w:rPr>
          <w:rFonts w:ascii="Arial" w:eastAsia="Arial" w:hAnsi="Arial" w:cs="Arial"/>
          <w:b/>
          <w:bCs/>
          <w:color w:val="auto"/>
          <w:szCs w:val="24"/>
        </w:rPr>
        <w:t>7 Информация о национальных органах, проголосовавших за принятие  стандарта</w:t>
      </w:r>
    </w:p>
    <w:p w14:paraId="27E57F27" w14:textId="77777777" w:rsidR="00836F55" w:rsidRPr="00631CE9" w:rsidRDefault="00836F55">
      <w:pPr>
        <w:ind w:firstLine="510"/>
        <w:jc w:val="both"/>
        <w:rPr>
          <w:rFonts w:ascii="Arial" w:eastAsia="Arial" w:hAnsi="Arial" w:cs="Arial"/>
          <w:color w:val="auto"/>
          <w:szCs w:val="24"/>
        </w:rPr>
      </w:pPr>
    </w:p>
    <w:p w14:paraId="2A4BC7D2" w14:textId="77777777" w:rsidR="00836F55" w:rsidRPr="00631CE9" w:rsidRDefault="00186127">
      <w:pPr>
        <w:ind w:firstLine="510"/>
        <w:jc w:val="both"/>
        <w:rPr>
          <w:rFonts w:ascii="Arial" w:eastAsia="Arial" w:hAnsi="Arial" w:cs="Arial"/>
          <w:color w:val="auto"/>
          <w:szCs w:val="24"/>
        </w:rPr>
      </w:pPr>
      <w:r w:rsidRPr="00631CE9">
        <w:rPr>
          <w:rFonts w:ascii="Arial" w:eastAsia="Arial" w:hAnsi="Arial" w:cs="Arial"/>
          <w:b/>
          <w:color w:val="auto"/>
          <w:szCs w:val="24"/>
        </w:rPr>
        <w:t xml:space="preserve">8 Перечень исходных документов и другие источники информации, использованные при разработке стандарта </w:t>
      </w:r>
    </w:p>
    <w:p w14:paraId="383D9629" w14:textId="77777777" w:rsidR="00836F55" w:rsidRPr="00631CE9" w:rsidRDefault="00186127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Arial" w:eastAsia="Arial" w:hAnsi="Arial" w:cs="Arial"/>
          <w:color w:val="auto"/>
          <w:szCs w:val="24"/>
        </w:rPr>
      </w:pPr>
      <w:r w:rsidRPr="00631CE9">
        <w:rPr>
          <w:rFonts w:ascii="Arial" w:eastAsia="Arial" w:hAnsi="Arial" w:cs="Arial"/>
          <w:color w:val="auto"/>
          <w:szCs w:val="24"/>
        </w:rPr>
        <w:t>- МУ 1686-77 «Методические указания на фотометрическое определение содержания паров сероуглерода в воздухе»</w:t>
      </w:r>
    </w:p>
    <w:p w14:paraId="6D9CF263" w14:textId="77777777" w:rsidR="00836F55" w:rsidRPr="00631CE9" w:rsidRDefault="00186127">
      <w:pPr>
        <w:spacing w:line="57" w:lineRule="atLeast"/>
        <w:ind w:firstLine="567"/>
        <w:jc w:val="both"/>
        <w:rPr>
          <w:rFonts w:ascii="Arial" w:eastAsia="Arial" w:hAnsi="Arial" w:cs="Arial"/>
          <w:color w:val="auto"/>
          <w:szCs w:val="24"/>
        </w:rPr>
      </w:pPr>
      <w:r w:rsidRPr="00631CE9">
        <w:rPr>
          <w:rFonts w:ascii="Arial" w:eastAsia="Arial" w:hAnsi="Arial" w:cs="Arial"/>
          <w:color w:val="auto"/>
          <w:szCs w:val="24"/>
        </w:rPr>
        <w:t xml:space="preserve">- Конвенция о трансграничном загрязнении воздуха на большие расстояния. </w:t>
      </w:r>
    </w:p>
    <w:p w14:paraId="712321D8" w14:textId="009D5BA6" w:rsidR="00836F55" w:rsidRPr="00631CE9" w:rsidRDefault="00186127" w:rsidP="00186127">
      <w:pPr>
        <w:spacing w:line="57" w:lineRule="atLeast"/>
        <w:ind w:firstLine="567"/>
        <w:jc w:val="both"/>
        <w:rPr>
          <w:rFonts w:ascii="Arial" w:eastAsia="Arial" w:hAnsi="Arial" w:cs="Arial"/>
          <w:color w:val="auto"/>
          <w:szCs w:val="24"/>
        </w:rPr>
      </w:pPr>
      <w:r w:rsidRPr="00631CE9">
        <w:rPr>
          <w:rFonts w:ascii="Arial" w:eastAsia="Arial" w:hAnsi="Arial" w:cs="Arial"/>
          <w:color w:val="auto"/>
          <w:szCs w:val="24"/>
        </w:rPr>
        <w:t xml:space="preserve">- Киотский протокол к Рамочной конвенции Организации Объединенных Наций об изменении климата. </w:t>
      </w:r>
    </w:p>
    <w:p w14:paraId="6BD6420B" w14:textId="77777777" w:rsidR="00836F55" w:rsidRPr="00631CE9" w:rsidRDefault="00836F55">
      <w:pPr>
        <w:pStyle w:val="10"/>
        <w:suppressAutoHyphens/>
        <w:ind w:firstLine="510"/>
        <w:jc w:val="both"/>
        <w:rPr>
          <w:rFonts w:ascii="Arial" w:eastAsia="Arial" w:hAnsi="Arial" w:cs="Arial"/>
          <w:b/>
          <w:color w:val="auto"/>
          <w:szCs w:val="24"/>
        </w:rPr>
      </w:pPr>
    </w:p>
    <w:p w14:paraId="15B09377" w14:textId="77777777" w:rsidR="00836F55" w:rsidRPr="00631CE9" w:rsidRDefault="00186127">
      <w:pPr>
        <w:pStyle w:val="10"/>
        <w:suppressAutoHyphens/>
        <w:ind w:firstLine="510"/>
        <w:jc w:val="both"/>
        <w:rPr>
          <w:rFonts w:ascii="Arial" w:eastAsia="Arial" w:hAnsi="Arial" w:cs="Arial"/>
          <w:b/>
          <w:color w:val="auto"/>
          <w:szCs w:val="24"/>
        </w:rPr>
      </w:pPr>
      <w:r w:rsidRPr="00631CE9">
        <w:rPr>
          <w:rFonts w:ascii="Arial" w:eastAsia="Arial" w:hAnsi="Arial" w:cs="Arial"/>
          <w:b/>
          <w:color w:val="auto"/>
          <w:szCs w:val="24"/>
        </w:rPr>
        <w:t>9 Данные о разработчике</w:t>
      </w:r>
    </w:p>
    <w:p w14:paraId="3215EC43" w14:textId="77777777" w:rsidR="00836F55" w:rsidRPr="00631CE9" w:rsidRDefault="00186127">
      <w:pPr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color w:val="auto"/>
          <w:szCs w:val="24"/>
        </w:rPr>
      </w:pPr>
      <w:r w:rsidRPr="00631CE9">
        <w:rPr>
          <w:rFonts w:ascii="Arial" w:eastAsia="Arial" w:hAnsi="Arial" w:cs="Arial"/>
          <w:color w:val="auto"/>
          <w:szCs w:val="24"/>
        </w:rPr>
        <w:t>РГП на ПХВ «Казахстанский институт стандартизации и сертификации» Комитетом технического регулирования и метрологии Министерства торговли и интеграции Республики Казахстан</w:t>
      </w:r>
    </w:p>
    <w:p w14:paraId="0E158A61" w14:textId="77777777" w:rsidR="00836F55" w:rsidRPr="00631CE9" w:rsidRDefault="00186127">
      <w:pPr>
        <w:ind w:firstLine="510"/>
        <w:jc w:val="both"/>
        <w:rPr>
          <w:rFonts w:ascii="Arial" w:eastAsia="Arial" w:hAnsi="Arial" w:cs="Arial"/>
          <w:color w:val="auto"/>
          <w:szCs w:val="24"/>
        </w:rPr>
      </w:pPr>
      <w:r w:rsidRPr="00631CE9">
        <w:rPr>
          <w:rFonts w:ascii="Arial" w:eastAsia="Arial" w:hAnsi="Arial" w:cs="Arial"/>
          <w:color w:val="auto"/>
          <w:szCs w:val="24"/>
        </w:rPr>
        <w:t>Адрес: Республика Казахстан</w:t>
      </w:r>
    </w:p>
    <w:p w14:paraId="6B6A5C04" w14:textId="77777777" w:rsidR="00836F55" w:rsidRPr="00631CE9" w:rsidRDefault="00186127">
      <w:pPr>
        <w:ind w:firstLine="510"/>
        <w:jc w:val="both"/>
        <w:rPr>
          <w:rFonts w:ascii="Arial" w:eastAsia="Arial" w:hAnsi="Arial" w:cs="Arial"/>
          <w:color w:val="auto"/>
          <w:szCs w:val="24"/>
        </w:rPr>
      </w:pPr>
      <w:r w:rsidRPr="00631CE9">
        <w:rPr>
          <w:rFonts w:ascii="Arial" w:eastAsia="Arial" w:hAnsi="Arial" w:cs="Arial"/>
          <w:color w:val="auto"/>
          <w:szCs w:val="24"/>
        </w:rPr>
        <w:t xml:space="preserve">010000, г. Астана, пр. </w:t>
      </w:r>
      <w:r w:rsidRPr="00631CE9">
        <w:rPr>
          <w:rFonts w:ascii="Arial" w:eastAsia="Arial" w:hAnsi="Arial" w:cs="Arial"/>
          <w:color w:val="auto"/>
          <w:szCs w:val="24"/>
          <w:lang w:val="kk-KZ"/>
        </w:rPr>
        <w:t>Мәнгілік ел</w:t>
      </w:r>
      <w:r w:rsidRPr="00631CE9">
        <w:rPr>
          <w:rFonts w:ascii="Arial" w:eastAsia="Arial" w:hAnsi="Arial" w:cs="Arial"/>
          <w:color w:val="auto"/>
          <w:szCs w:val="24"/>
        </w:rPr>
        <w:t xml:space="preserve"> 11, здание «Эталонный центр»</w:t>
      </w:r>
    </w:p>
    <w:p w14:paraId="6A58E8CE" w14:textId="77777777" w:rsidR="00836F55" w:rsidRPr="00631CE9" w:rsidRDefault="00186127">
      <w:pPr>
        <w:ind w:firstLine="510"/>
        <w:jc w:val="both"/>
        <w:rPr>
          <w:rFonts w:ascii="Arial" w:eastAsia="Arial" w:hAnsi="Arial" w:cs="Arial"/>
          <w:color w:val="auto"/>
          <w:szCs w:val="24"/>
        </w:rPr>
      </w:pPr>
      <w:r w:rsidRPr="00631CE9">
        <w:rPr>
          <w:rFonts w:ascii="Arial" w:eastAsia="Arial" w:hAnsi="Arial" w:cs="Arial"/>
          <w:color w:val="auto"/>
          <w:szCs w:val="24"/>
        </w:rPr>
        <w:t>Тел. 8 (7172) 44-64-24</w:t>
      </w:r>
    </w:p>
    <w:p w14:paraId="6FE821A4" w14:textId="77777777" w:rsidR="00836F55" w:rsidRPr="00631CE9" w:rsidRDefault="00836F55">
      <w:pPr>
        <w:suppressAutoHyphens/>
        <w:rPr>
          <w:rFonts w:ascii="Arial" w:hAnsi="Arial" w:cs="Arial"/>
          <w:color w:val="auto"/>
          <w:szCs w:val="24"/>
        </w:rPr>
      </w:pPr>
    </w:p>
    <w:p w14:paraId="375F859E" w14:textId="77777777" w:rsidR="00836F55" w:rsidRPr="00631CE9" w:rsidRDefault="00186127">
      <w:pPr>
        <w:ind w:firstLine="567"/>
        <w:jc w:val="both"/>
        <w:rPr>
          <w:rFonts w:ascii="Arial" w:hAnsi="Arial" w:cs="Arial"/>
          <w:b/>
          <w:bCs/>
          <w:color w:val="auto"/>
          <w:szCs w:val="24"/>
        </w:rPr>
      </w:pPr>
      <w:r w:rsidRPr="00631CE9">
        <w:rPr>
          <w:rFonts w:ascii="Arial" w:hAnsi="Arial" w:cs="Arial"/>
          <w:b/>
          <w:bCs/>
          <w:color w:val="auto"/>
          <w:szCs w:val="24"/>
        </w:rPr>
        <w:t>Заместитель</w:t>
      </w:r>
    </w:p>
    <w:p w14:paraId="6695CDBF" w14:textId="25BAFAAE" w:rsidR="00836F55" w:rsidRPr="00631CE9" w:rsidRDefault="00186127">
      <w:pPr>
        <w:ind w:firstLine="567"/>
        <w:jc w:val="both"/>
        <w:rPr>
          <w:rFonts w:ascii="Arial" w:hAnsi="Arial" w:cs="Arial"/>
          <w:b/>
          <w:bCs/>
          <w:color w:val="auto"/>
          <w:szCs w:val="24"/>
        </w:rPr>
      </w:pPr>
      <w:r w:rsidRPr="00631CE9">
        <w:rPr>
          <w:rFonts w:ascii="Arial" w:hAnsi="Arial" w:cs="Arial"/>
          <w:b/>
          <w:bCs/>
          <w:color w:val="auto"/>
          <w:szCs w:val="24"/>
        </w:rPr>
        <w:t>Генерального директора                                                                И.В. Хамитов</w:t>
      </w:r>
    </w:p>
    <w:p w14:paraId="112FADF8" w14:textId="6D31C4E1" w:rsidR="00186127" w:rsidRPr="00631CE9" w:rsidRDefault="00186127">
      <w:pPr>
        <w:ind w:firstLine="567"/>
        <w:jc w:val="both"/>
        <w:rPr>
          <w:rFonts w:ascii="Arial" w:hAnsi="Arial" w:cs="Arial"/>
          <w:b/>
          <w:bCs/>
          <w:color w:val="auto"/>
          <w:szCs w:val="24"/>
        </w:rPr>
      </w:pPr>
    </w:p>
    <w:p w14:paraId="295AD803" w14:textId="1D1DB0B3" w:rsidR="00186127" w:rsidRPr="00631CE9" w:rsidRDefault="00186127">
      <w:pPr>
        <w:ind w:firstLine="567"/>
        <w:jc w:val="both"/>
        <w:rPr>
          <w:rFonts w:ascii="Arial" w:hAnsi="Arial" w:cs="Arial"/>
          <w:b/>
          <w:bCs/>
          <w:color w:val="auto"/>
          <w:szCs w:val="24"/>
        </w:rPr>
      </w:pPr>
    </w:p>
    <w:sectPr w:rsidR="00186127" w:rsidRPr="00631CE9">
      <w:endnotePr>
        <w:numFmt w:val="decimal"/>
      </w:endnotePr>
      <w:pgSz w:w="11906" w:h="16838"/>
      <w:pgMar w:top="1134" w:right="1134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Kaz">
    <w:charset w:val="00"/>
    <w:family w:val="swiss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DF499F"/>
    <w:multiLevelType w:val="hybridMultilevel"/>
    <w:tmpl w:val="34948E2E"/>
    <w:name w:val="Нумерованный список 7"/>
    <w:lvl w:ilvl="0" w:tplc="E898CD7E">
      <w:start w:val="1"/>
      <w:numFmt w:val="decimal"/>
      <w:lvlText w:val="%1."/>
      <w:lvlJc w:val="left"/>
      <w:pPr>
        <w:ind w:left="360" w:firstLine="0"/>
      </w:pPr>
    </w:lvl>
    <w:lvl w:ilvl="1" w:tplc="FF92125A">
      <w:start w:val="1"/>
      <w:numFmt w:val="lowerLetter"/>
      <w:lvlText w:val="%2."/>
      <w:lvlJc w:val="left"/>
      <w:pPr>
        <w:ind w:left="1080" w:firstLine="0"/>
      </w:pPr>
    </w:lvl>
    <w:lvl w:ilvl="2" w:tplc="89923FBC">
      <w:start w:val="1"/>
      <w:numFmt w:val="lowerRoman"/>
      <w:lvlText w:val="%3."/>
      <w:lvlJc w:val="left"/>
      <w:pPr>
        <w:ind w:left="1980" w:firstLine="0"/>
      </w:pPr>
    </w:lvl>
    <w:lvl w:ilvl="3" w:tplc="6D04AA66">
      <w:start w:val="1"/>
      <w:numFmt w:val="decimal"/>
      <w:lvlText w:val="%4."/>
      <w:lvlJc w:val="left"/>
      <w:pPr>
        <w:ind w:left="2520" w:firstLine="0"/>
      </w:pPr>
    </w:lvl>
    <w:lvl w:ilvl="4" w:tplc="8314315A">
      <w:start w:val="1"/>
      <w:numFmt w:val="lowerLetter"/>
      <w:lvlText w:val="%5."/>
      <w:lvlJc w:val="left"/>
      <w:pPr>
        <w:ind w:left="3240" w:firstLine="0"/>
      </w:pPr>
    </w:lvl>
    <w:lvl w:ilvl="5" w:tplc="9DEAB746">
      <w:start w:val="1"/>
      <w:numFmt w:val="lowerRoman"/>
      <w:lvlText w:val="%6."/>
      <w:lvlJc w:val="left"/>
      <w:pPr>
        <w:ind w:left="4140" w:firstLine="0"/>
      </w:pPr>
    </w:lvl>
    <w:lvl w:ilvl="6" w:tplc="9492220C">
      <w:start w:val="1"/>
      <w:numFmt w:val="decimal"/>
      <w:lvlText w:val="%7."/>
      <w:lvlJc w:val="left"/>
      <w:pPr>
        <w:ind w:left="4680" w:firstLine="0"/>
      </w:pPr>
    </w:lvl>
    <w:lvl w:ilvl="7" w:tplc="72EE9EDC">
      <w:start w:val="1"/>
      <w:numFmt w:val="lowerLetter"/>
      <w:lvlText w:val="%8."/>
      <w:lvlJc w:val="left"/>
      <w:pPr>
        <w:ind w:left="5400" w:firstLine="0"/>
      </w:pPr>
    </w:lvl>
    <w:lvl w:ilvl="8" w:tplc="E10AD3D6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3DE81C6D"/>
    <w:multiLevelType w:val="hybridMultilevel"/>
    <w:tmpl w:val="5354374E"/>
    <w:name w:val="Нумерованный список 6"/>
    <w:lvl w:ilvl="0" w:tplc="0D7488CC">
      <w:start w:val="1"/>
      <w:numFmt w:val="decimal"/>
      <w:lvlText w:val="%1."/>
      <w:lvlJc w:val="left"/>
      <w:pPr>
        <w:ind w:left="709" w:firstLine="0"/>
      </w:pPr>
    </w:lvl>
    <w:lvl w:ilvl="1" w:tplc="983219FC">
      <w:start w:val="1"/>
      <w:numFmt w:val="lowerLetter"/>
      <w:lvlText w:val="%2."/>
      <w:lvlJc w:val="left"/>
      <w:pPr>
        <w:ind w:left="1429" w:firstLine="0"/>
      </w:pPr>
    </w:lvl>
    <w:lvl w:ilvl="2" w:tplc="3BA807E4">
      <w:start w:val="1"/>
      <w:numFmt w:val="lowerRoman"/>
      <w:lvlText w:val="%3."/>
      <w:lvlJc w:val="left"/>
      <w:pPr>
        <w:ind w:left="2329" w:firstLine="0"/>
      </w:pPr>
    </w:lvl>
    <w:lvl w:ilvl="3" w:tplc="21365B40">
      <w:start w:val="1"/>
      <w:numFmt w:val="decimal"/>
      <w:lvlText w:val="%4."/>
      <w:lvlJc w:val="left"/>
      <w:pPr>
        <w:ind w:left="2869" w:firstLine="0"/>
      </w:pPr>
    </w:lvl>
    <w:lvl w:ilvl="4" w:tplc="FF16AB5E">
      <w:start w:val="1"/>
      <w:numFmt w:val="lowerLetter"/>
      <w:lvlText w:val="%5."/>
      <w:lvlJc w:val="left"/>
      <w:pPr>
        <w:ind w:left="3589" w:firstLine="0"/>
      </w:pPr>
    </w:lvl>
    <w:lvl w:ilvl="5" w:tplc="BD1C5B4A">
      <w:start w:val="1"/>
      <w:numFmt w:val="lowerRoman"/>
      <w:lvlText w:val="%6."/>
      <w:lvlJc w:val="left"/>
      <w:pPr>
        <w:ind w:left="4489" w:firstLine="0"/>
      </w:pPr>
    </w:lvl>
    <w:lvl w:ilvl="6" w:tplc="A64EA674">
      <w:start w:val="1"/>
      <w:numFmt w:val="decimal"/>
      <w:lvlText w:val="%7."/>
      <w:lvlJc w:val="left"/>
      <w:pPr>
        <w:ind w:left="5029" w:firstLine="0"/>
      </w:pPr>
    </w:lvl>
    <w:lvl w:ilvl="7" w:tplc="51FED128">
      <w:start w:val="1"/>
      <w:numFmt w:val="lowerLetter"/>
      <w:lvlText w:val="%8."/>
      <w:lvlJc w:val="left"/>
      <w:pPr>
        <w:ind w:left="5749" w:firstLine="0"/>
      </w:pPr>
    </w:lvl>
    <w:lvl w:ilvl="8" w:tplc="95E4B222">
      <w:start w:val="1"/>
      <w:numFmt w:val="lowerRoman"/>
      <w:lvlText w:val="%9."/>
      <w:lvlJc w:val="left"/>
      <w:pPr>
        <w:ind w:left="6649" w:firstLine="0"/>
      </w:pPr>
    </w:lvl>
  </w:abstractNum>
  <w:abstractNum w:abstractNumId="2" w15:restartNumberingAfterBreak="0">
    <w:nsid w:val="4BB77E8E"/>
    <w:multiLevelType w:val="hybridMultilevel"/>
    <w:tmpl w:val="E4AE95E8"/>
    <w:name w:val="Нумерованный список 3"/>
    <w:lvl w:ilvl="0" w:tplc="63F4E564">
      <w:start w:val="1"/>
      <w:numFmt w:val="decimal"/>
      <w:lvlText w:val="%1."/>
      <w:lvlJc w:val="left"/>
      <w:pPr>
        <w:ind w:left="1069" w:firstLine="0"/>
      </w:pPr>
    </w:lvl>
    <w:lvl w:ilvl="1" w:tplc="D2B06ACC">
      <w:start w:val="1"/>
      <w:numFmt w:val="lowerLetter"/>
      <w:lvlText w:val="%2."/>
      <w:lvlJc w:val="left"/>
      <w:pPr>
        <w:ind w:left="1789" w:firstLine="0"/>
      </w:pPr>
    </w:lvl>
    <w:lvl w:ilvl="2" w:tplc="8AD490AE">
      <w:start w:val="1"/>
      <w:numFmt w:val="lowerRoman"/>
      <w:lvlText w:val="%3."/>
      <w:lvlJc w:val="left"/>
      <w:pPr>
        <w:ind w:left="2689" w:firstLine="0"/>
      </w:pPr>
    </w:lvl>
    <w:lvl w:ilvl="3" w:tplc="CD8CF7D4">
      <w:start w:val="1"/>
      <w:numFmt w:val="decimal"/>
      <w:lvlText w:val="%4."/>
      <w:lvlJc w:val="left"/>
      <w:pPr>
        <w:ind w:left="3229" w:firstLine="0"/>
      </w:pPr>
    </w:lvl>
    <w:lvl w:ilvl="4" w:tplc="016A82EE">
      <w:start w:val="1"/>
      <w:numFmt w:val="lowerLetter"/>
      <w:lvlText w:val="%5."/>
      <w:lvlJc w:val="left"/>
      <w:pPr>
        <w:ind w:left="3949" w:firstLine="0"/>
      </w:pPr>
    </w:lvl>
    <w:lvl w:ilvl="5" w:tplc="6AC0C990">
      <w:start w:val="1"/>
      <w:numFmt w:val="lowerRoman"/>
      <w:lvlText w:val="%6."/>
      <w:lvlJc w:val="left"/>
      <w:pPr>
        <w:ind w:left="4849" w:firstLine="0"/>
      </w:pPr>
    </w:lvl>
    <w:lvl w:ilvl="6" w:tplc="19542AD6">
      <w:start w:val="1"/>
      <w:numFmt w:val="decimal"/>
      <w:lvlText w:val="%7."/>
      <w:lvlJc w:val="left"/>
      <w:pPr>
        <w:ind w:left="5389" w:firstLine="0"/>
      </w:pPr>
    </w:lvl>
    <w:lvl w:ilvl="7" w:tplc="DC3C74C4">
      <w:start w:val="1"/>
      <w:numFmt w:val="lowerLetter"/>
      <w:lvlText w:val="%8."/>
      <w:lvlJc w:val="left"/>
      <w:pPr>
        <w:ind w:left="6109" w:firstLine="0"/>
      </w:pPr>
    </w:lvl>
    <w:lvl w:ilvl="8" w:tplc="FB0CB96C">
      <w:start w:val="1"/>
      <w:numFmt w:val="lowerRoman"/>
      <w:lvlText w:val="%9."/>
      <w:lvlJc w:val="left"/>
      <w:pPr>
        <w:ind w:left="7009" w:firstLine="0"/>
      </w:pPr>
    </w:lvl>
  </w:abstractNum>
  <w:abstractNum w:abstractNumId="3" w15:restartNumberingAfterBreak="0">
    <w:nsid w:val="54660704"/>
    <w:multiLevelType w:val="hybridMultilevel"/>
    <w:tmpl w:val="AFAAA9D4"/>
    <w:lvl w:ilvl="0" w:tplc="D6D6882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7F70712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802774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A9F49F2C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F50A492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7B1A2D88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03E499C4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9642F9C8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FFECCFA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70C87293"/>
    <w:multiLevelType w:val="hybridMultilevel"/>
    <w:tmpl w:val="671C1F06"/>
    <w:name w:val="Нумерованный список 1"/>
    <w:lvl w:ilvl="0" w:tplc="6E5077BA">
      <w:start w:val="12"/>
      <w:numFmt w:val="decimal"/>
      <w:lvlText w:val="%1."/>
      <w:lvlJc w:val="left"/>
      <w:pPr>
        <w:ind w:left="360" w:firstLine="0"/>
      </w:pPr>
    </w:lvl>
    <w:lvl w:ilvl="1" w:tplc="82F67D3C">
      <w:start w:val="1"/>
      <w:numFmt w:val="lowerLetter"/>
      <w:lvlText w:val="%2."/>
      <w:lvlJc w:val="left"/>
      <w:pPr>
        <w:ind w:left="1080" w:firstLine="0"/>
      </w:pPr>
    </w:lvl>
    <w:lvl w:ilvl="2" w:tplc="D12C1742">
      <w:start w:val="1"/>
      <w:numFmt w:val="lowerRoman"/>
      <w:lvlText w:val="%3."/>
      <w:lvlJc w:val="left"/>
      <w:pPr>
        <w:ind w:left="1980" w:firstLine="0"/>
      </w:pPr>
    </w:lvl>
    <w:lvl w:ilvl="3" w:tplc="C412597C">
      <w:start w:val="1"/>
      <w:numFmt w:val="decimal"/>
      <w:lvlText w:val="%4."/>
      <w:lvlJc w:val="left"/>
      <w:pPr>
        <w:ind w:left="2520" w:firstLine="0"/>
      </w:pPr>
    </w:lvl>
    <w:lvl w:ilvl="4" w:tplc="4CAE103E">
      <w:start w:val="1"/>
      <w:numFmt w:val="lowerLetter"/>
      <w:lvlText w:val="%5."/>
      <w:lvlJc w:val="left"/>
      <w:pPr>
        <w:ind w:left="3240" w:firstLine="0"/>
      </w:pPr>
    </w:lvl>
    <w:lvl w:ilvl="5" w:tplc="58343A0E">
      <w:start w:val="1"/>
      <w:numFmt w:val="lowerRoman"/>
      <w:lvlText w:val="%6."/>
      <w:lvlJc w:val="left"/>
      <w:pPr>
        <w:ind w:left="4140" w:firstLine="0"/>
      </w:pPr>
    </w:lvl>
    <w:lvl w:ilvl="6" w:tplc="78E08524">
      <w:start w:val="1"/>
      <w:numFmt w:val="decimal"/>
      <w:lvlText w:val="%7."/>
      <w:lvlJc w:val="left"/>
      <w:pPr>
        <w:ind w:left="4680" w:firstLine="0"/>
      </w:pPr>
    </w:lvl>
    <w:lvl w:ilvl="7" w:tplc="1FCAF286">
      <w:start w:val="1"/>
      <w:numFmt w:val="lowerLetter"/>
      <w:lvlText w:val="%8."/>
      <w:lvlJc w:val="left"/>
      <w:pPr>
        <w:ind w:left="5400" w:firstLine="0"/>
      </w:pPr>
    </w:lvl>
    <w:lvl w:ilvl="8" w:tplc="9F924226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7B42668C"/>
    <w:multiLevelType w:val="hybridMultilevel"/>
    <w:tmpl w:val="9604818E"/>
    <w:name w:val="Нумерованный список 2"/>
    <w:lvl w:ilvl="0" w:tplc="90D60E5C">
      <w:start w:val="1"/>
      <w:numFmt w:val="decimal"/>
      <w:lvlText w:val="%1."/>
      <w:lvlJc w:val="left"/>
      <w:pPr>
        <w:ind w:left="709" w:firstLine="0"/>
      </w:pPr>
    </w:lvl>
    <w:lvl w:ilvl="1" w:tplc="41802042">
      <w:start w:val="1"/>
      <w:numFmt w:val="lowerLetter"/>
      <w:lvlText w:val="%2."/>
      <w:lvlJc w:val="left"/>
      <w:pPr>
        <w:ind w:left="1080" w:firstLine="0"/>
      </w:pPr>
    </w:lvl>
    <w:lvl w:ilvl="2" w:tplc="E3EC9062">
      <w:start w:val="1"/>
      <w:numFmt w:val="lowerRoman"/>
      <w:lvlText w:val="%3."/>
      <w:lvlJc w:val="left"/>
      <w:pPr>
        <w:ind w:left="1980" w:firstLine="0"/>
      </w:pPr>
    </w:lvl>
    <w:lvl w:ilvl="3" w:tplc="900CA268">
      <w:start w:val="1"/>
      <w:numFmt w:val="decimal"/>
      <w:lvlText w:val="%4."/>
      <w:lvlJc w:val="left"/>
      <w:pPr>
        <w:ind w:left="2520" w:firstLine="0"/>
      </w:pPr>
    </w:lvl>
    <w:lvl w:ilvl="4" w:tplc="EB46645E">
      <w:start w:val="1"/>
      <w:numFmt w:val="lowerLetter"/>
      <w:lvlText w:val="%5."/>
      <w:lvlJc w:val="left"/>
      <w:pPr>
        <w:ind w:left="3240" w:firstLine="0"/>
      </w:pPr>
    </w:lvl>
    <w:lvl w:ilvl="5" w:tplc="D85CE4D0">
      <w:start w:val="1"/>
      <w:numFmt w:val="lowerRoman"/>
      <w:lvlText w:val="%6."/>
      <w:lvlJc w:val="left"/>
      <w:pPr>
        <w:ind w:left="4140" w:firstLine="0"/>
      </w:pPr>
    </w:lvl>
    <w:lvl w:ilvl="6" w:tplc="86AACE74">
      <w:start w:val="1"/>
      <w:numFmt w:val="decimal"/>
      <w:lvlText w:val="%7."/>
      <w:lvlJc w:val="left"/>
      <w:pPr>
        <w:ind w:left="4680" w:firstLine="0"/>
      </w:pPr>
    </w:lvl>
    <w:lvl w:ilvl="7" w:tplc="DE4EDCC8">
      <w:start w:val="1"/>
      <w:numFmt w:val="lowerLetter"/>
      <w:lvlText w:val="%8."/>
      <w:lvlJc w:val="left"/>
      <w:pPr>
        <w:ind w:left="5400" w:firstLine="0"/>
      </w:pPr>
    </w:lvl>
    <w:lvl w:ilvl="8" w:tplc="A148D966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7F2C0F45"/>
    <w:multiLevelType w:val="hybridMultilevel"/>
    <w:tmpl w:val="1C74F2B0"/>
    <w:name w:val="Нумерованный список 4"/>
    <w:lvl w:ilvl="0" w:tplc="DB944A0C">
      <w:start w:val="1"/>
      <w:numFmt w:val="decimal"/>
      <w:lvlText w:val="%1."/>
      <w:lvlJc w:val="left"/>
      <w:pPr>
        <w:ind w:left="1069" w:firstLine="0"/>
      </w:pPr>
    </w:lvl>
    <w:lvl w:ilvl="1" w:tplc="2AA450EC">
      <w:start w:val="1"/>
      <w:numFmt w:val="lowerLetter"/>
      <w:lvlText w:val="%2."/>
      <w:lvlJc w:val="left"/>
      <w:pPr>
        <w:ind w:left="1789" w:firstLine="0"/>
      </w:pPr>
    </w:lvl>
    <w:lvl w:ilvl="2" w:tplc="FF10AD50">
      <w:start w:val="1"/>
      <w:numFmt w:val="lowerRoman"/>
      <w:lvlText w:val="%3."/>
      <w:lvlJc w:val="left"/>
      <w:pPr>
        <w:ind w:left="2689" w:firstLine="0"/>
      </w:pPr>
    </w:lvl>
    <w:lvl w:ilvl="3" w:tplc="66D8D51A">
      <w:start w:val="1"/>
      <w:numFmt w:val="decimal"/>
      <w:lvlText w:val="%4."/>
      <w:lvlJc w:val="left"/>
      <w:pPr>
        <w:ind w:left="3229" w:firstLine="0"/>
      </w:pPr>
    </w:lvl>
    <w:lvl w:ilvl="4" w:tplc="BDA2756C">
      <w:start w:val="1"/>
      <w:numFmt w:val="lowerLetter"/>
      <w:lvlText w:val="%5."/>
      <w:lvlJc w:val="left"/>
      <w:pPr>
        <w:ind w:left="3949" w:firstLine="0"/>
      </w:pPr>
    </w:lvl>
    <w:lvl w:ilvl="5" w:tplc="4AB0BD8A">
      <w:start w:val="1"/>
      <w:numFmt w:val="lowerRoman"/>
      <w:lvlText w:val="%6."/>
      <w:lvlJc w:val="left"/>
      <w:pPr>
        <w:ind w:left="4849" w:firstLine="0"/>
      </w:pPr>
    </w:lvl>
    <w:lvl w:ilvl="6" w:tplc="E4A64F72">
      <w:start w:val="1"/>
      <w:numFmt w:val="decimal"/>
      <w:lvlText w:val="%7."/>
      <w:lvlJc w:val="left"/>
      <w:pPr>
        <w:ind w:left="5389" w:firstLine="0"/>
      </w:pPr>
    </w:lvl>
    <w:lvl w:ilvl="7" w:tplc="1F60FE96">
      <w:start w:val="1"/>
      <w:numFmt w:val="lowerLetter"/>
      <w:lvlText w:val="%8."/>
      <w:lvlJc w:val="left"/>
      <w:pPr>
        <w:ind w:left="6109" w:firstLine="0"/>
      </w:pPr>
    </w:lvl>
    <w:lvl w:ilvl="8" w:tplc="5A2A73B2">
      <w:start w:val="1"/>
      <w:numFmt w:val="lowerRoman"/>
      <w:lvlText w:val="%9."/>
      <w:lvlJc w:val="left"/>
      <w:pPr>
        <w:ind w:left="7009" w:firstLine="0"/>
      </w:pPr>
    </w:lvl>
  </w:abstractNum>
  <w:abstractNum w:abstractNumId="7" w15:restartNumberingAfterBreak="0">
    <w:nsid w:val="7F4963A4"/>
    <w:multiLevelType w:val="hybridMultilevel"/>
    <w:tmpl w:val="B8447B4C"/>
    <w:name w:val="Нумерованный список 5"/>
    <w:lvl w:ilvl="0" w:tplc="90C66A6A">
      <w:start w:val="1"/>
      <w:numFmt w:val="decimal"/>
      <w:lvlText w:val="%1."/>
      <w:lvlJc w:val="left"/>
      <w:pPr>
        <w:ind w:left="360" w:firstLine="0"/>
      </w:pPr>
    </w:lvl>
    <w:lvl w:ilvl="1" w:tplc="E85EF2A2">
      <w:start w:val="1"/>
      <w:numFmt w:val="lowerLetter"/>
      <w:lvlText w:val="%2."/>
      <w:lvlJc w:val="left"/>
      <w:pPr>
        <w:ind w:left="1080" w:firstLine="0"/>
      </w:pPr>
    </w:lvl>
    <w:lvl w:ilvl="2" w:tplc="E6283F7C">
      <w:start w:val="1"/>
      <w:numFmt w:val="lowerRoman"/>
      <w:lvlText w:val="%3."/>
      <w:lvlJc w:val="left"/>
      <w:pPr>
        <w:ind w:left="1980" w:firstLine="0"/>
      </w:pPr>
    </w:lvl>
    <w:lvl w:ilvl="3" w:tplc="DFEAB2A0">
      <w:start w:val="1"/>
      <w:numFmt w:val="decimal"/>
      <w:lvlText w:val="%4."/>
      <w:lvlJc w:val="left"/>
      <w:pPr>
        <w:ind w:left="2520" w:firstLine="0"/>
      </w:pPr>
    </w:lvl>
    <w:lvl w:ilvl="4" w:tplc="341A1A80">
      <w:start w:val="1"/>
      <w:numFmt w:val="lowerLetter"/>
      <w:lvlText w:val="%5."/>
      <w:lvlJc w:val="left"/>
      <w:pPr>
        <w:ind w:left="3240" w:firstLine="0"/>
      </w:pPr>
    </w:lvl>
    <w:lvl w:ilvl="5" w:tplc="E29879D6">
      <w:start w:val="1"/>
      <w:numFmt w:val="lowerRoman"/>
      <w:lvlText w:val="%6."/>
      <w:lvlJc w:val="left"/>
      <w:pPr>
        <w:ind w:left="4140" w:firstLine="0"/>
      </w:pPr>
    </w:lvl>
    <w:lvl w:ilvl="6" w:tplc="75E8C0AC">
      <w:start w:val="1"/>
      <w:numFmt w:val="decimal"/>
      <w:lvlText w:val="%7."/>
      <w:lvlJc w:val="left"/>
      <w:pPr>
        <w:ind w:left="4680" w:firstLine="0"/>
      </w:pPr>
    </w:lvl>
    <w:lvl w:ilvl="7" w:tplc="006ECD9C">
      <w:start w:val="1"/>
      <w:numFmt w:val="lowerLetter"/>
      <w:lvlText w:val="%8."/>
      <w:lvlJc w:val="left"/>
      <w:pPr>
        <w:ind w:left="5400" w:firstLine="0"/>
      </w:pPr>
    </w:lvl>
    <w:lvl w:ilvl="8" w:tplc="922C0D66">
      <w:start w:val="1"/>
      <w:numFmt w:val="lowerRoman"/>
      <w:lvlText w:val="%9."/>
      <w:lvlJc w:val="left"/>
      <w:pPr>
        <w:ind w:left="6300" w:firstLine="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7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6F55"/>
    <w:rsid w:val="00186127"/>
    <w:rsid w:val="003743A2"/>
    <w:rsid w:val="00603ECF"/>
    <w:rsid w:val="00631CE9"/>
    <w:rsid w:val="007743EA"/>
    <w:rsid w:val="0083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17514"/>
  <w15:docId w15:val="{5E23D6CC-03BC-455B-8789-BFF05DB4A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color w:val="000000"/>
      <w:sz w:val="24"/>
      <w:szCs w:val="28"/>
    </w:rPr>
  </w:style>
  <w:style w:type="paragraph" w:styleId="1">
    <w:name w:val="heading 1"/>
    <w:basedOn w:val="a"/>
    <w:qFormat/>
    <w:pPr>
      <w:spacing w:before="100" w:beforeAutospacing="1" w:after="100" w:afterAutospacing="1"/>
      <w:outlineLvl w:val="0"/>
    </w:pPr>
    <w:rPr>
      <w:b/>
      <w:bCs/>
      <w:color w:val="auto"/>
      <w:kern w:val="1"/>
      <w:sz w:val="48"/>
      <w:szCs w:val="48"/>
    </w:rPr>
  </w:style>
  <w:style w:type="paragraph" w:styleId="2">
    <w:name w:val="heading 2"/>
    <w:basedOn w:val="1"/>
    <w:next w:val="a"/>
    <w:qFormat/>
    <w:pPr>
      <w:keepNext/>
      <w:keepLines/>
      <w:widowControl w:val="0"/>
      <w:spacing w:before="240" w:beforeAutospacing="0" w:after="60" w:afterAutospacing="0"/>
      <w:outlineLvl w:val="1"/>
    </w:pPr>
    <w:rPr>
      <w:rFonts w:ascii="Arial" w:eastAsia="SimSun" w:hAnsi="Arial" w:cs="Arial"/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Pr>
      <w:color w:val="000000"/>
      <w:sz w:val="24"/>
      <w:szCs w:val="28"/>
    </w:rPr>
  </w:style>
  <w:style w:type="paragraph" w:customStyle="1" w:styleId="Style19">
    <w:name w:val="Style19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Default">
    <w:name w:val="Default"/>
    <w:qFormat/>
    <w:pPr>
      <w:widowControl w:val="0"/>
    </w:pPr>
    <w:rPr>
      <w:color w:val="000000"/>
      <w:sz w:val="24"/>
      <w:szCs w:val="24"/>
    </w:rPr>
  </w:style>
  <w:style w:type="paragraph" w:customStyle="1" w:styleId="Style2">
    <w:name w:val="Style2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0">
    <w:name w:val="Style20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30">
    <w:name w:val="Style30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2">
    <w:name w:val="Style22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styleId="a3">
    <w:name w:val="Body Text"/>
    <w:basedOn w:val="a"/>
    <w:qFormat/>
    <w:pPr>
      <w:jc w:val="center"/>
    </w:pPr>
    <w:rPr>
      <w:rFonts w:ascii="Times Kaz" w:hAnsi="Times Kaz"/>
      <w:color w:val="auto"/>
      <w:sz w:val="20"/>
      <w:szCs w:val="20"/>
    </w:rPr>
  </w:style>
  <w:style w:type="paragraph" w:styleId="a4">
    <w:name w:val="List Paragraph"/>
    <w:basedOn w:val="a"/>
    <w:qFormat/>
    <w:pPr>
      <w:ind w:left="720"/>
      <w:contextualSpacing/>
    </w:pPr>
  </w:style>
  <w:style w:type="paragraph" w:styleId="a5">
    <w:name w:val="Balloon Text"/>
    <w:basedOn w:val="a"/>
    <w:qFormat/>
    <w:rPr>
      <w:rFonts w:ascii="Tahoma" w:hAnsi="Tahoma" w:cs="Tahoma"/>
      <w:sz w:val="16"/>
      <w:szCs w:val="16"/>
    </w:rPr>
  </w:style>
  <w:style w:type="paragraph" w:styleId="30">
    <w:name w:val="Body Text 3"/>
    <w:basedOn w:val="a"/>
    <w:qFormat/>
    <w:pPr>
      <w:spacing w:after="120"/>
    </w:pPr>
    <w:rPr>
      <w:sz w:val="16"/>
      <w:szCs w:val="16"/>
    </w:rPr>
  </w:style>
  <w:style w:type="paragraph" w:styleId="a6">
    <w:name w:val="Title"/>
    <w:basedOn w:val="a"/>
    <w:qFormat/>
    <w:pPr>
      <w:jc w:val="center"/>
    </w:pPr>
    <w:rPr>
      <w:color w:val="auto"/>
      <w:sz w:val="28"/>
      <w:szCs w:val="24"/>
    </w:rPr>
  </w:style>
  <w:style w:type="paragraph" w:styleId="a7">
    <w:name w:val="Normal (Web)"/>
    <w:basedOn w:val="a"/>
    <w:uiPriority w:val="99"/>
    <w:qFormat/>
    <w:pPr>
      <w:spacing w:before="100" w:beforeAutospacing="1" w:after="100" w:afterAutospacing="1"/>
    </w:pPr>
    <w:rPr>
      <w:color w:val="auto"/>
      <w:szCs w:val="24"/>
    </w:rPr>
  </w:style>
  <w:style w:type="paragraph" w:customStyle="1" w:styleId="docfieldheader">
    <w:name w:val="doc_field_header"/>
    <w:basedOn w:val="a"/>
    <w:qFormat/>
    <w:pPr>
      <w:spacing w:before="100" w:beforeAutospacing="1" w:after="100" w:afterAutospacing="1"/>
    </w:pPr>
    <w:rPr>
      <w:color w:val="auto"/>
      <w:szCs w:val="24"/>
    </w:rPr>
  </w:style>
  <w:style w:type="paragraph" w:customStyle="1" w:styleId="4">
    <w:name w:val="Основной текст4"/>
    <w:basedOn w:val="a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300" w:after="1680" w:line="0" w:lineRule="atLeast"/>
      <w:ind w:hanging="1220"/>
      <w:jc w:val="center"/>
    </w:pPr>
    <w:rPr>
      <w:b/>
      <w:color w:val="auto"/>
      <w:sz w:val="26"/>
      <w:szCs w:val="26"/>
    </w:rPr>
  </w:style>
  <w:style w:type="character" w:customStyle="1" w:styleId="FontStyle106">
    <w:name w:val="Font Style106"/>
    <w:rPr>
      <w:rFonts w:ascii="Arial" w:hAnsi="Arial" w:cs="Arial"/>
      <w:color w:val="000000"/>
      <w:spacing w:val="158"/>
      <w:sz w:val="18"/>
      <w:szCs w:val="18"/>
    </w:rPr>
  </w:style>
  <w:style w:type="character" w:customStyle="1" w:styleId="FontStyle110">
    <w:name w:val="Font Style110"/>
    <w:rPr>
      <w:rFonts w:ascii="Arial" w:hAnsi="Arial" w:cs="Arial"/>
      <w:color w:val="000000"/>
      <w:sz w:val="20"/>
      <w:szCs w:val="20"/>
    </w:rPr>
  </w:style>
  <w:style w:type="character" w:customStyle="1" w:styleId="11">
    <w:name w:val="Заголовок 1 Знак"/>
    <w:basedOn w:val="a0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character" w:customStyle="1" w:styleId="apple-style-span">
    <w:name w:val="apple-style-span"/>
    <w:basedOn w:val="a0"/>
  </w:style>
  <w:style w:type="character" w:customStyle="1" w:styleId="FontStyle71">
    <w:name w:val="Font Style71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77">
    <w:name w:val="Font Style77"/>
    <w:rPr>
      <w:rFonts w:ascii="Arial" w:hAnsi="Arial" w:cs="Arial"/>
      <w:color w:val="000000"/>
      <w:sz w:val="16"/>
      <w:szCs w:val="16"/>
    </w:rPr>
  </w:style>
  <w:style w:type="character" w:customStyle="1" w:styleId="FontStyle48">
    <w:name w:val="Font Style48"/>
    <w:rPr>
      <w:rFonts w:ascii="Arial" w:hAnsi="Arial" w:cs="Arial"/>
      <w:color w:val="000000"/>
      <w:sz w:val="18"/>
      <w:szCs w:val="18"/>
    </w:rPr>
  </w:style>
  <w:style w:type="character" w:customStyle="1" w:styleId="a8">
    <w:name w:val="Основной текст Знак"/>
    <w:basedOn w:val="a0"/>
    <w:rPr>
      <w:rFonts w:ascii="Times Kaz" w:eastAsia="Times New Roman" w:hAnsi="Times Kaz" w:cs="Times New Roman"/>
      <w:sz w:val="20"/>
      <w:szCs w:val="20"/>
    </w:rPr>
  </w:style>
  <w:style w:type="character" w:customStyle="1" w:styleId="apple-converted-space">
    <w:name w:val="apple-converted-space"/>
  </w:style>
  <w:style w:type="character" w:styleId="a9">
    <w:name w:val="Hyperlink"/>
    <w:rPr>
      <w:color w:val="0000FF"/>
      <w:u w:val="single"/>
    </w:rPr>
  </w:style>
  <w:style w:type="character" w:customStyle="1" w:styleId="aa">
    <w:name w:val="Текст выноски Знак"/>
    <w:basedOn w:val="a0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31">
    <w:name w:val="Основной текст 3 Знак"/>
    <w:basedOn w:val="a0"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ab">
    <w:name w:val="Название Знак"/>
    <w:basedOn w:val="a0"/>
    <w:rPr>
      <w:rFonts w:ascii="Times New Roman" w:eastAsia="Times New Roman" w:hAnsi="Times New Roman" w:cs="Times New Roman"/>
      <w:noProof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9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Система РНПЦ</cp:lastModifiedBy>
  <cp:revision>46</cp:revision>
  <cp:lastPrinted>2018-06-11T03:54:00Z</cp:lastPrinted>
  <dcterms:created xsi:type="dcterms:W3CDTF">2015-08-03T06:32:00Z</dcterms:created>
  <dcterms:modified xsi:type="dcterms:W3CDTF">2020-03-10T06:58:00Z</dcterms:modified>
</cp:coreProperties>
</file>